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2AAA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-834390</wp:posOffset>
                </wp:positionH>
                <wp:positionV relativeFrom="paragraph">
                  <wp:posOffset>-636905</wp:posOffset>
                </wp:positionV>
                <wp:extent cx="657225" cy="266700"/>
                <wp:effectExtent l="0" t="0" r="952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8610" y="277495"/>
                          <a:ext cx="657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F17211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附件：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5.7pt;margin-top:-50.15pt;height:21pt;width:51.75pt;z-index:251659264;mso-width-relative:page;mso-height-relative:page;" fillcolor="#FFFFFF [3201]" filled="t" stroked="f" coordsize="21600,21600" o:gfxdata="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C5X489cA&#10;AAANAQAADwAAAAAAAAABACAAAAAiAAAAZHJzL2Rvd25yZXYueG1sUEsBAhQAFAAAAAgAh07iQPHY&#10;o55ZAgAAmAQAAA4AAAAAAAAAAQAgAAAAJg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3F17211">
                      <w:pPr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附件：</w:t>
                      </w: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2"/>
          <w:szCs w:val="32"/>
        </w:rPr>
        <w:t>省监管平台数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据上传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系统维护服务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项目需求</w:t>
      </w:r>
    </w:p>
    <w:p w14:paraId="6D5B07E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一、服务要求</w:t>
      </w:r>
    </w:p>
    <w:p w14:paraId="14AA2EA2">
      <w:pPr>
        <w:pStyle w:val="3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/>
          <w:kern w:val="2"/>
          <w:sz w:val="24"/>
          <w:szCs w:val="24"/>
          <w:lang w:val="en-US" w:eastAsia="zh-Hans" w:bidi="ar-SA"/>
        </w:rPr>
        <w:t>1、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数据上传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互联互通评测相关要求</w:t>
      </w:r>
    </w:p>
    <w:p w14:paraId="46AA426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符合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江苏省卫生信息统计中心在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2021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年发布的</w:t>
      </w:r>
      <w:r>
        <w:rPr>
          <w:rFonts w:hint="eastAsia" w:ascii="宋体" w:hAnsi="宋体" w:eastAsia="宋体" w:cs="宋体"/>
          <w:sz w:val="24"/>
          <w:szCs w:val="24"/>
        </w:rPr>
        <w:t>《关于开展2021年度国家医疗健康信息互联互通标准化成熟度测评工作的通知》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通知中强调参加互联互通评测的单位需要在评测工作开展前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6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个月内上传到省全民健康信息平台的数据需要符合《江苏省健康信息平台共享数据集标准（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2021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）》要求（数据质量报告由江苏省信息统计中心发布），对于不符合的评测申请单位将中止评测流程。</w:t>
      </w:r>
    </w:p>
    <w:p w14:paraId="4CB4E339">
      <w:pPr>
        <w:pStyle w:val="3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/>
          <w:kern w:val="2"/>
          <w:sz w:val="24"/>
          <w:szCs w:val="24"/>
          <w:lang w:val="en-US" w:eastAsia="zh-Hans" w:bidi="ar-SA"/>
        </w:rPr>
        <w:t>2、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等级医院评审相关要求</w:t>
      </w:r>
    </w:p>
    <w:p w14:paraId="463EE0A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国家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三级医院评审标准(2020 年版)实施细则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信息管理部分明确指出：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根据《中华人民共和国统计法》与卫生健康行政部门规定，完成医院基本运行状况、医疗质量安全、医疗技术、诊疗信息和临床用药监测信息等相关数据报送工作，确保数据真实可靠、可追溯。</w:t>
      </w:r>
    </w:p>
    <w:p w14:paraId="0564D36A">
      <w:pPr>
        <w:pStyle w:val="3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电子病历评测相关要求</w:t>
      </w:r>
    </w:p>
    <w:p w14:paraId="4B75F7D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符合关于印发《江苏省结构化门(急)诊电子病历升级改造实施方案》(苏卫办医政〔2020〕46号),制定了《江苏省结构化门(急)诊电子病历系统验收标准(试行)》(以下简称《标准》),要求二级及以上医院要加快改造完善，确保尽快实现门(急)诊电子病历系统标准化、结构化、规范化。</w:t>
      </w:r>
    </w:p>
    <w:p w14:paraId="36579FBE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4、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卫生高级专业技术资格申报评审的要求</w:t>
      </w:r>
    </w:p>
    <w:p w14:paraId="2F1D0081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根据《关于开展2022年度全省卫生高级专业技术资格申报评审工作的通知》苏卫人〔2022〕24号文件精神要求。请二级及以上医疗机构（含妇幼保健院和民营医院）于9月30日前将2019年1月1日以来的病案首页数据上传至江苏省全民健康信息平台（省医疗服务综合监管系统、省中医药服务智慧管理系统）。</w:t>
      </w:r>
    </w:p>
    <w:p w14:paraId="30999395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 服务内容</w:t>
      </w:r>
    </w:p>
    <w:p w14:paraId="2EA9EF7B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1、内容清单</w:t>
      </w:r>
    </w:p>
    <w:p w14:paraId="4E1386C0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2E5F6A8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34F47CC">
      <w:pPr>
        <w:rPr>
          <w:rFonts w:hint="eastAsia"/>
        </w:rPr>
      </w:pPr>
    </w:p>
    <w:tbl>
      <w:tblPr>
        <w:tblStyle w:val="9"/>
        <w:tblW w:w="88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705"/>
        <w:gridCol w:w="6332"/>
      </w:tblGrid>
      <w:tr w14:paraId="69A8A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02" w:type="dxa"/>
            <w:vAlign w:val="center"/>
          </w:tcPr>
          <w:p w14:paraId="4A5695A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</w:tcPr>
          <w:p w14:paraId="1482B55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类别          </w:t>
            </w:r>
          </w:p>
        </w:tc>
        <w:tc>
          <w:tcPr>
            <w:tcW w:w="6332" w:type="dxa"/>
            <w:tcBorders>
              <w:left w:val="single" w:color="auto" w:sz="4" w:space="0"/>
            </w:tcBorders>
            <w:vAlign w:val="center"/>
          </w:tcPr>
          <w:p w14:paraId="7230EF5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模块</w:t>
            </w:r>
          </w:p>
        </w:tc>
      </w:tr>
      <w:tr w14:paraId="63FD3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802" w:type="dxa"/>
            <w:vAlign w:val="center"/>
          </w:tcPr>
          <w:p w14:paraId="40B0E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</w:tcPr>
          <w:p w14:paraId="768D3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检查业务表</w:t>
            </w:r>
          </w:p>
        </w:tc>
        <w:tc>
          <w:tcPr>
            <w:tcW w:w="6332" w:type="dxa"/>
            <w:tcBorders>
              <w:left w:val="single" w:color="auto" w:sz="4" w:space="0"/>
            </w:tcBorders>
            <w:vAlign w:val="center"/>
          </w:tcPr>
          <w:p w14:paraId="10BAA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检查43张表数据上报服务表链等具体情况</w:t>
            </w:r>
          </w:p>
        </w:tc>
      </w:tr>
      <w:tr w14:paraId="78019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2" w:type="dxa"/>
            <w:vAlign w:val="center"/>
          </w:tcPr>
          <w:p w14:paraId="5E01E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705" w:type="dxa"/>
            <w:vAlign w:val="center"/>
          </w:tcPr>
          <w:p w14:paraId="25E9A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检查报告</w:t>
            </w:r>
          </w:p>
        </w:tc>
        <w:tc>
          <w:tcPr>
            <w:tcW w:w="6332" w:type="dxa"/>
            <w:vAlign w:val="center"/>
          </w:tcPr>
          <w:p w14:paraId="21D1B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校验43张表2020年01月到现在的每个月数据质量，并生成 错误报告</w:t>
            </w:r>
          </w:p>
        </w:tc>
      </w:tr>
      <w:tr w14:paraId="5C099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2" w:type="dxa"/>
            <w:vAlign w:val="center"/>
          </w:tcPr>
          <w:p w14:paraId="64F2C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705" w:type="dxa"/>
            <w:vAlign w:val="center"/>
          </w:tcPr>
          <w:p w14:paraId="09C4A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补传数据</w:t>
            </w:r>
          </w:p>
        </w:tc>
        <w:tc>
          <w:tcPr>
            <w:tcW w:w="6332" w:type="dxa"/>
            <w:vAlign w:val="center"/>
          </w:tcPr>
          <w:p w14:paraId="632CE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检查43张表是否有遗漏，进行补传数据(2019年01月到现 在)</w:t>
            </w:r>
          </w:p>
        </w:tc>
      </w:tr>
      <w:tr w14:paraId="1CC16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802" w:type="dxa"/>
            <w:vAlign w:val="center"/>
          </w:tcPr>
          <w:p w14:paraId="7B3D4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705" w:type="dxa"/>
            <w:vAlign w:val="center"/>
          </w:tcPr>
          <w:p w14:paraId="00611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数据清理与补传</w:t>
            </w:r>
          </w:p>
        </w:tc>
        <w:tc>
          <w:tcPr>
            <w:tcW w:w="6332" w:type="dxa"/>
            <w:vAlign w:val="center"/>
          </w:tcPr>
          <w:p w14:paraId="34FA1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过渡期间的数据清理与补传(清理数据需医院向省厅提供申请说明)</w:t>
            </w:r>
          </w:p>
        </w:tc>
      </w:tr>
      <w:tr w14:paraId="29D49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802" w:type="dxa"/>
            <w:vAlign w:val="center"/>
          </w:tcPr>
          <w:p w14:paraId="30D88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705" w:type="dxa"/>
            <w:vAlign w:val="center"/>
          </w:tcPr>
          <w:p w14:paraId="252EE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数据检查与上传</w:t>
            </w:r>
          </w:p>
        </w:tc>
        <w:tc>
          <w:tcPr>
            <w:tcW w:w="6332" w:type="dxa"/>
            <w:vAlign w:val="center"/>
          </w:tcPr>
          <w:p w14:paraId="1FC6D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开启每天定时数据检查与上传</w:t>
            </w:r>
          </w:p>
        </w:tc>
      </w:tr>
      <w:tr w14:paraId="0E15E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802" w:type="dxa"/>
            <w:vAlign w:val="center"/>
          </w:tcPr>
          <w:p w14:paraId="1B833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705" w:type="dxa"/>
            <w:vAlign w:val="center"/>
          </w:tcPr>
          <w:p w14:paraId="6B083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数据比对</w:t>
            </w:r>
          </w:p>
        </w:tc>
        <w:tc>
          <w:tcPr>
            <w:tcW w:w="6332" w:type="dxa"/>
            <w:vAlign w:val="center"/>
          </w:tcPr>
          <w:p w14:paraId="2941E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从院端数据抽取(大数医达)、数据入库(东软)、数据质控</w:t>
            </w:r>
          </w:p>
          <w:p w14:paraId="5DE8C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(今创)三个环节分析比较医院实际业务数据量和抽取后数据  量及质量的比对，保证抽取后的数据量和质量反应医院实际业 务情况。分析医疗监管平台</w:t>
            </w:r>
          </w:p>
          <w:p w14:paraId="1A006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(http://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HYPERLINK "10.40.11.238"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10.40.11.238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:8089/jsms/)如数据表质量，表与表 之间的关联性等问题，向医院提出整改建议。</w:t>
            </w:r>
          </w:p>
        </w:tc>
      </w:tr>
      <w:tr w14:paraId="60E0C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802" w:type="dxa"/>
            <w:vAlign w:val="center"/>
          </w:tcPr>
          <w:p w14:paraId="21FEA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705" w:type="dxa"/>
            <w:vAlign w:val="center"/>
          </w:tcPr>
          <w:p w14:paraId="7181E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沟通协调</w:t>
            </w:r>
          </w:p>
        </w:tc>
        <w:tc>
          <w:tcPr>
            <w:tcW w:w="6332" w:type="dxa"/>
            <w:vAlign w:val="center"/>
          </w:tcPr>
          <w:p w14:paraId="2415A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和对应上层数据厂商或省厅相关部门进行沟通协调，保证数据 准确按期上传成功；</w:t>
            </w:r>
          </w:p>
        </w:tc>
      </w:tr>
      <w:tr w14:paraId="0CE1A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802" w:type="dxa"/>
            <w:vAlign w:val="center"/>
          </w:tcPr>
          <w:p w14:paraId="3C05A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705" w:type="dxa"/>
            <w:vAlign w:val="center"/>
          </w:tcPr>
          <w:p w14:paraId="6BCFF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日志报告</w:t>
            </w:r>
          </w:p>
        </w:tc>
        <w:tc>
          <w:tcPr>
            <w:tcW w:w="6332" w:type="dxa"/>
            <w:vAlign w:val="center"/>
          </w:tcPr>
          <w:p w14:paraId="60D4D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提供周计划以及周报，并提供每日小结(包含当天的增量上传  内容以及日常巡检的问题报告)。提供月度总结报告(以便应  对每周和每月的省厅例行对上传率、采集率、病案首页合格率 的检查)。</w:t>
            </w:r>
          </w:p>
        </w:tc>
      </w:tr>
      <w:tr w14:paraId="03EA1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802" w:type="dxa"/>
            <w:vAlign w:val="center"/>
          </w:tcPr>
          <w:p w14:paraId="2DECD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705" w:type="dxa"/>
            <w:vAlign w:val="center"/>
          </w:tcPr>
          <w:p w14:paraId="7861D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其它服务</w:t>
            </w:r>
          </w:p>
        </w:tc>
        <w:tc>
          <w:tcPr>
            <w:tcW w:w="6332" w:type="dxa"/>
            <w:vAlign w:val="center"/>
          </w:tcPr>
          <w:p w14:paraId="7C791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可根据医院要求提供每季度和每半年给一次对于43张表的全  院和全系统的整改方案报告；并派遣工程师远程开设整体会议 (需要院内所有涉及此项目的业务科室及厂家参加)。</w:t>
            </w:r>
          </w:p>
        </w:tc>
      </w:tr>
    </w:tbl>
    <w:p w14:paraId="2637E9D6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2、模块具体内容：</w:t>
      </w:r>
    </w:p>
    <w:p w14:paraId="6A3706A2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2.1具体业务表清单如下：</w:t>
      </w:r>
    </w:p>
    <w:p w14:paraId="568C816B"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患者基本信息数据表结构</w:t>
      </w:r>
    </w:p>
    <w:p w14:paraId="2565A552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 门诊/急诊挂号数据表结构</w:t>
      </w:r>
    </w:p>
    <w:p w14:paraId="60407D5A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 门诊/急诊就诊记录表结构</w:t>
      </w:r>
    </w:p>
    <w:p w14:paraId="3FFE412E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 急诊留观-观察病历表结构</w:t>
      </w:r>
    </w:p>
    <w:p w14:paraId="090FDBF4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5. 急诊留观-观察病程记录表结构</w:t>
      </w:r>
    </w:p>
    <w:p w14:paraId="37AB45F2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6. 急诊留观-出观察室记录表结构</w:t>
      </w:r>
    </w:p>
    <w:p w14:paraId="03763C5A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7. 门急诊/观察室有创操作记录表结构</w:t>
      </w:r>
    </w:p>
    <w:p w14:paraId="46CC26FC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8. 门诊/急诊/住院西药处方表结构(主表)</w:t>
      </w:r>
    </w:p>
    <w:p w14:paraId="7BB850E5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9. 门诊/急诊/住院西药处方表结构(从表) </w:t>
      </w:r>
    </w:p>
    <w:p w14:paraId="3290E609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10. 门诊/急诊/住院中药处方表结构(主表) </w:t>
      </w:r>
    </w:p>
    <w:p w14:paraId="5573FDA5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11. 门诊/急诊/住院中药处方表结构(从表)</w:t>
      </w:r>
    </w:p>
    <w:p w14:paraId="4BA2062E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12.患者入院记录表结构</w:t>
      </w:r>
    </w:p>
    <w:p w14:paraId="74F8AC08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13.住院病人医嘱记录表结构 </w:t>
      </w:r>
    </w:p>
    <w:p w14:paraId="2E7EABBD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14.住院患者病程记录表结构</w:t>
      </w:r>
    </w:p>
    <w:p w14:paraId="5BCB0E10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15.患者出院记录(小结)/死亡记录表结构</w:t>
      </w:r>
    </w:p>
    <w:p w14:paraId="1F7DA1BE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16.手术/操作记录表结构 </w:t>
      </w:r>
    </w:p>
    <w:p w14:paraId="1FAE1E14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17.西医病案首页表结构  </w:t>
      </w:r>
    </w:p>
    <w:p w14:paraId="2E3F85FB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18.检验申请记录表结构</w:t>
      </w:r>
    </w:p>
    <w:p w14:paraId="76C89082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19.检验报告记录表结构(主表) </w:t>
      </w:r>
    </w:p>
    <w:p w14:paraId="2CB6B54F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20.检验结果明细表结构(从表)</w:t>
      </w:r>
    </w:p>
    <w:p w14:paraId="43DCD0DA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21.检查信息表结构</w:t>
      </w:r>
    </w:p>
    <w:p w14:paraId="7EC1D79F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22.检查申请记录表结构 </w:t>
      </w:r>
    </w:p>
    <w:p w14:paraId="06BB8A34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23.检查报告记录表结构 </w:t>
      </w:r>
    </w:p>
    <w:p w14:paraId="14CDA9A7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24.治疗处置记录表结构 </w:t>
      </w:r>
    </w:p>
    <w:p w14:paraId="46D0DF6C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25.患者输血申请表结构</w:t>
      </w:r>
    </w:p>
    <w:p w14:paraId="0D61F15D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26.患者输血记录表结构</w:t>
      </w:r>
    </w:p>
    <w:p w14:paraId="52BFDB66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27.医疗高值耗材使用记录</w:t>
      </w:r>
    </w:p>
    <w:p w14:paraId="6AB1F8C4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28.门诊/急诊/住院费用表结构(主表) </w:t>
      </w:r>
    </w:p>
    <w:p w14:paraId="0018D47E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29.门诊/急诊/住院费用表结构(从表)</w:t>
      </w:r>
    </w:p>
    <w:p w14:paraId="229E29CE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30.药品入库信息记录表 </w:t>
      </w:r>
    </w:p>
    <w:p w14:paraId="71DA0EB2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31.药品出库信息记录表 </w:t>
      </w:r>
    </w:p>
    <w:p w14:paraId="07123266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32.耗材入库信息记录表 </w:t>
      </w:r>
    </w:p>
    <w:p w14:paraId="2D7DFF0B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33.耗材出库信息记录表</w:t>
      </w:r>
    </w:p>
    <w:p w14:paraId="229F97AA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34.入院出院患者统计数据表结构  </w:t>
      </w:r>
    </w:p>
    <w:p w14:paraId="4F34142E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35.门诊/住院收费统计数据表结构 </w:t>
      </w:r>
    </w:p>
    <w:p w14:paraId="022F49DC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36.门诊工作量统计数据表结构</w:t>
      </w:r>
    </w:p>
    <w:p w14:paraId="34194344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37.住院工作量统计数据表结构 </w:t>
      </w:r>
    </w:p>
    <w:p w14:paraId="2488C428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38.患者入院记录_天表结构</w:t>
      </w:r>
    </w:p>
    <w:p w14:paraId="04880936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39.患者出院记录(小结)/死亡记录_天表结构 </w:t>
      </w:r>
    </w:p>
    <w:p w14:paraId="66F3C5C6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40.出院患者感染预警信息表结构</w:t>
      </w:r>
    </w:p>
    <w:p w14:paraId="3D928835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41.检查报告指标信息表结构</w:t>
      </w:r>
    </w:p>
    <w:p w14:paraId="6D2166AA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42.住院病人体温腹泻次数表结构 </w:t>
      </w:r>
    </w:p>
    <w:p w14:paraId="55A2A1D5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43.出院患者感染预警信息表结构</w:t>
      </w:r>
    </w:p>
    <w:p w14:paraId="18A35AD7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备注：服务期内，表的内容按照省厅要求实时调整。</w:t>
      </w:r>
    </w:p>
    <w:p w14:paraId="1D239381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2.2重建或补充数据上报服务表链</w:t>
      </w:r>
    </w:p>
    <w:p w14:paraId="3C6DE3AD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乙方将在服务期内提供以下服务：</w:t>
      </w:r>
    </w:p>
    <w:p w14:paraId="7207B6E4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A.重建或补充43张业务表(含省厅码表对应转换)。</w:t>
      </w:r>
    </w:p>
    <w:p w14:paraId="0C0E28BF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B. 重建或补充43张业务表涉及的所有码表，包含重建、辅助、检查、整理码表 (注：码表对照工作由医院负责)。</w:t>
      </w:r>
    </w:p>
    <w:p w14:paraId="65BA8B9E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C.实时同步“医院内部己完成对照的码表库”与“上传数据库中的码表库”保持 一致。</w:t>
      </w:r>
    </w:p>
    <w:p w14:paraId="058F3FCD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2.3抽取数据的质量管控</w:t>
      </w:r>
    </w:p>
    <w:p w14:paraId="46A664F9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乙方将在服务期内提供以下服务：</w:t>
      </w:r>
    </w:p>
    <w:p w14:paraId="69D46B8B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A.数据基础检查、校验后生成错误报告，并辅助医院对数据进行整改。</w:t>
      </w:r>
    </w:p>
    <w:p w14:paraId="22896E4F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B.根据省厅检查报告，辅助医院对数据质量进行整改。</w:t>
      </w:r>
    </w:p>
    <w:p w14:paraId="1CA1BB78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2.4如有新旧系统的重叠数据辅助清理，并将清理出来的数据上传 (清理数据需医院向省厅提供申请说明)</w:t>
      </w:r>
    </w:p>
    <w:p w14:paraId="43E0B856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2.5在项目服务期内，省平台规则升级或添加考核指标，乙方会免费为医院提供 省监管平台上传数据治理标准的升级服务，不再另行收取费用。</w:t>
      </w:r>
    </w:p>
    <w:p w14:paraId="273EB944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2.6涉及到省监管平台的考核任务，乙方会提前半年对考核内容进行整改，比如院内等级医院评审、复评、国考绩效考核等国家级/省级的考核。</w:t>
      </w:r>
    </w:p>
    <w:p w14:paraId="2B80038B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2.7乙方会确保在服务期内数据质量达到江苏省监管平台(全民健康信息平台) 考核的各项指标要求。</w:t>
      </w:r>
    </w:p>
    <w:p w14:paraId="3349B1F9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三、培训要求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：供应商须提供操作培训方案，方案内容包括但不限于培训方式、培训课时及培训目标成果等内容。根据医院的业务特点和用户认知程度不同，提出系统而有效的培训方案。</w:t>
      </w:r>
    </w:p>
    <w:p w14:paraId="77C1DE8B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四、其它要求：</w:t>
      </w:r>
    </w:p>
    <w:p w14:paraId="6D22DCA0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1、具备有良好的服务理念和完善的售后服务体系，能够按照投标技术方案提供系统集成技术支持服务；</w:t>
      </w:r>
    </w:p>
    <w:p w14:paraId="14C0DF8D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2、服务期内配套的应用软件和硬件的维护升级均免费。</w:t>
      </w:r>
    </w:p>
    <w:p w14:paraId="44E977E4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3、提供24小时热线电话、远程网络、到达现场等技术支持服务，对于系统故障，要求提供快速响应机制，满足业务连续性要求；</w:t>
      </w:r>
    </w:p>
    <w:p w14:paraId="03DC80F9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4、服务质量等不符合规定标准或给院方造成损失的，院方有权追索。中标后不得违法分包、转包，如中标方不能履行服务条款的，按违约处理。</w:t>
      </w:r>
    </w:p>
    <w:p w14:paraId="3397F9D4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1B8A8">
    <w:pPr>
      <w:pStyle w:val="4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DE1AC8"/>
    <w:multiLevelType w:val="singleLevel"/>
    <w:tmpl w:val="93DE1AC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264F401"/>
    <w:multiLevelType w:val="multilevel"/>
    <w:tmpl w:val="6264F401"/>
    <w:lvl w:ilvl="0" w:tentative="0">
      <w:start w:val="1"/>
      <w:numFmt w:val="decimal"/>
      <w:lvlText w:val="%1."/>
      <w:lvlJc w:val="left"/>
      <w:pPr>
        <w:ind w:left="432" w:leftChars="0" w:hanging="432" w:firstLineChars="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leftChars="0" w:hanging="575" w:firstLineChars="0"/>
      </w:pPr>
      <w:rPr>
        <w:rFonts w:hint="default"/>
      </w:rPr>
    </w:lvl>
    <w:lvl w:ilvl="2" w:tentative="0">
      <w:start w:val="1"/>
      <w:numFmt w:val="decimal"/>
      <w:pStyle w:val="3"/>
      <w:lvlText w:val="%1.%2.%3."/>
      <w:lvlJc w:val="left"/>
      <w:pPr>
        <w:ind w:left="1770" w:leftChars="0" w:hanging="720" w:firstLineChars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leftChars="0" w:hanging="864" w:firstLineChars="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leftChars="0" w:hanging="1008" w:firstLineChars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leftChars="0" w:hanging="1151" w:firstLineChars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leftChars="0" w:hanging="1296" w:firstLineChars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leftChars="0" w:hanging="1440" w:firstLineChars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leftChars="0" w:hanging="1583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77466"/>
    <w:rsid w:val="459F53AA"/>
    <w:rsid w:val="67A86B5B"/>
    <w:rsid w:val="79FE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 w:firstLineChars="0"/>
      <w:outlineLvl w:val="2"/>
    </w:pPr>
    <w:rPr>
      <w:b/>
      <w:sz w:val="32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2468</Words>
  <Characters>2642</Characters>
  <Lines>0</Lines>
  <Paragraphs>0</Paragraphs>
  <TotalTime>9</TotalTime>
  <ScaleCrop>false</ScaleCrop>
  <LinksUpToDate>false</LinksUpToDate>
  <CharactersWithSpaces>2705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2024-12-23T06:13:00Z</dcterms:created>
  <dc:creator>Administrator</dc:creator>
  <cp:lastModifiedBy>Mr~Rong</cp:lastModifiedBy>
  <dcterms:modified xsi:type="dcterms:W3CDTF">2024-12-23T09:27:58Z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4AFAFDD045F74F74BF5D9CEFCDD61CB6_12</vt:lpwstr>
  </property>
</Properties>
</file>